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Major Differences Between ASC 606 and Previous Accounting Guidance</w:t>
      </w:r>
    </w:p>
    <w:p>
      <w:r>
        <w:br/>
        <w:t>1. Revenue Recognition Model:</w:t>
        <w:br/>
        <w:t xml:space="preserve">   - **ASC 606:** Introduces a five-step model for revenue recognition: identify the contract, identify performance obligations, determine the transaction price, allocate the transaction price, and recognize revenue when performance obligations are satisfied.</w:t>
        <w:br/>
        <w:t xml:space="preserve">   - **Previous Guidance (ASC 605):** Revenue recognition was often industry-specific with different criteria and less standardized guidance.</w:t>
        <w:br/>
        <w:br/>
        <w:t>2. Identification of Performance Obligations:</w:t>
        <w:br/>
        <w:t xml:space="preserve">   - **ASC 606:** Requires entities to identify distinct performance obligations within a contract and recognize revenue as these obligations are satisfied.</w:t>
        <w:br/>
        <w:t xml:space="preserve">   - **Previous Guidance:** Did not explicitly require the identification and separation of performance obligations, leading to varied practices across industries.</w:t>
        <w:br/>
        <w:br/>
        <w:t>3. Transaction Price Allocation:</w:t>
        <w:br/>
        <w:t xml:space="preserve">   - **ASC 606:** Mandates that the transaction price be allocated to each performance obligation based on its relative standalone selling price.</w:t>
        <w:br/>
        <w:t xml:space="preserve">   - **Previous Guidance:** Often allowed for more flexibility in how revenue was allocated, which could lead to inconsistency and less comparability.</w:t>
        <w:br/>
        <w:br/>
        <w:t>4. Variable Consideration:</w:t>
        <w:br/>
        <w:t xml:space="preserve">   - **ASC 606:** Entities must estimate variable consideration (e.g., discounts, rebates) and include it in the transaction price only if it is probable that a significant reversal will not occur.</w:t>
        <w:br/>
        <w:t xml:space="preserve">   - **Previous Guidance:** Generally allowed entities to recognize revenue based on the amount they expected to be entitled to, without as stringent requirements on estimating and constraining variable consideration.</w:t>
        <w:br/>
        <w:br/>
        <w:t>5. Enhanced Disclosure Requirements:</w:t>
        <w:br/>
        <w:t xml:space="preserve">   - **ASC 606:** Requires comprehensive disclosures to provide better insight into revenue recognition practices, including the nature, amount, timing, and uncertainty of revenue and cash flows.</w:t>
        <w:br/>
        <w:t xml:space="preserve">   - **Previous Guidance:** Disclosure requirements were less extensive and varied significantly between industries and entities.</w:t>
        <w:br/>
        <w:br/>
        <w:t>These changes aim to improve the comparability, consistency, and transparency of revenue recognition across different entities and industries.</w:t>
        <w:br/>
        <w:br/>
        <w:t>For further details, you can refer to the guides provided by PwC and KPMG:</w:t>
        <w:br/>
        <w:t>- PwC Guide on Revenue from Contracts with Customers: https://viewpoint.pwc.com/dt/us/en/pwc/accounting_guides/revenue_from_contrac/assets/revenuerecglobalfeb2022.pdf</w:t>
        <w:br/>
        <w:t>- PwC Software Industry Revenue Recognition: https://www.pwc.com/gx/en/audit-services/ifrs/publications/ifrs-15/pwc-revenue-from-contracts-with-customers-software.pdf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62C12D-FB7E-43DF-827C-D30BE7C79306}"/>
</file>

<file path=customXml/itemProps3.xml><?xml version="1.0" encoding="utf-8"?>
<ds:datastoreItem xmlns:ds="http://schemas.openxmlformats.org/officeDocument/2006/customXml" ds:itemID="{E2F2DF2E-7990-4556-942F-282D65456BC5}"/>
</file>

<file path=customXml/itemProps4.xml><?xml version="1.0" encoding="utf-8"?>
<ds:datastoreItem xmlns:ds="http://schemas.openxmlformats.org/officeDocument/2006/customXml" ds:itemID="{F5439FEF-6A63-47B0-AABC-D1536BC27F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